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Emoji – czy warto je stosować?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sprawą social mediów emoji stały się nieodłącznym elementem komunikacji internetowej. Co ciekawe, pierwsze emotikony powstały już w 1982 roku, za sprawą Scotta Fahlmana. W jednej z wiadomości mailowej po raz pierwszy zastosował on symbole „uśmiechniętej” i „smutnej” minki.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Emoji są wszędzie - ich używanie w prywatnych konwersacjach od dawna jest na porządku dziennym. Jak natomiast wygląda sprawa w kwestiach biznesowych? </w:t>
      </w:r>
      <w:r>
        <w:rPr>
          <w:rFonts w:ascii="calibri" w:hAnsi="calibri" w:eastAsia="calibri" w:cs="calibri"/>
          <w:sz w:val="24"/>
          <w:szCs w:val="24"/>
        </w:rPr>
        <w:t xml:space="preserve">?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 firmy powinny ich używać? Czy ich stostowanie na coś wpływa?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?</w:t>
      </w:r>
      <w:r>
        <w:rPr>
          <w:rFonts w:ascii="calibri" w:hAnsi="calibri" w:eastAsia="calibri" w:cs="calibri"/>
          <w:sz w:val="24"/>
          <w:szCs w:val="24"/>
        </w:rPr>
        <w:t xml:space="preserve">Na to pytanie i na parę innych znajdziecie odpowiedzi w najnowszym wpisie na blogu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#WybieramContent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emoji-czy-warto-je-stosowa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2024-04-23T19:21:59+02:00</dcterms:created>
  <dcterms:modified xsi:type="dcterms:W3CDTF">2024-04-23T19:21:59+02:00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