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Business Model Canvas w rękach handlowców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plan na jednej kartce. Tak się mówi o modelu Canvas, który stanowi obecnie jedną z najbardziej popularnych metod modelowania biznesowego.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wydaniu Nowej Sprzedaży, Sandra Kluza i Ewelina Stachowiak odpowiadają na poniższe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</w:t>
      </w:r>
    </w:p>
    <w:p>
      <w:r>
        <w:rPr>
          <w:rFonts w:ascii="calibri" w:hAnsi="calibri" w:eastAsia="calibri" w:cs="calibri"/>
          <w:sz w:val="24"/>
          <w:szCs w:val="24"/>
        </w:rPr>
        <w:t xml:space="preserve">Jaka jest rola Business Model Canvas w procesie sprzedaży? </w:t>
      </w:r>
    </w:p>
    <w:p>
      <w:r>
        <w:rPr>
          <w:rFonts w:ascii="calibri" w:hAnsi="calibri" w:eastAsia="calibri" w:cs="calibri"/>
          <w:sz w:val="24"/>
          <w:szCs w:val="24"/>
        </w:rPr>
        <w:t xml:space="preserve">W jaki sposób segmentować klientów? 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pytania powinieneś zadać, by odpowiednio posegmentować klientów? 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wykorzystać elementy tego modelu jako narzędzie wsparcia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lektury na stronach 82-86.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2024-04-27T06:41:51+02:00</dcterms:created>
  <dcterms:modified xsi:type="dcterms:W3CDTF">2024-04-27T06:41:51+02:00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