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Artykuły sponsorowane – czy warto w nie 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Nowoczesna reklama nie jest już wyłącznie doraźnym korzystaniem z narzędzi marketingowych oraz umieszczaniem perswazyjnych materiałów na ulicach, w mediach oraz przestrzeni internetowej.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odnieść sukces, niezbędna jest spójna strategia, która obejmuje stałe dbanie o wizerunek marki. Skutecznym rozwiązaniem, chętnie wykorzystywanym przez firmy, są artykuły sponsorowane.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ich zaletą jest brak “nachalności” obecnej w tradycyjnych treściach reklamowych. </w:t>
      </w:r>
    </w:p>
    <w:p>
      <w:r>
        <w:rPr>
          <w:rFonts w:ascii="calibri" w:hAnsi="calibri" w:eastAsia="calibri" w:cs="calibri"/>
          <w:sz w:val="24"/>
          <w:szCs w:val="24"/>
        </w:rPr>
        <w:t xml:space="preserve">Czy warto inwestować w artykuły sponsorowane (i dlaczego tak)?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na naszym </w:t>
      </w:r>
      <w:r>
        <w:rPr>
          <w:rFonts w:ascii="calibri" w:hAnsi="calibri" w:eastAsia="calibri" w:cs="calibri"/>
          <w:sz w:val="24"/>
          <w:szCs w:val="24"/>
          <w:b/>
        </w:rPr>
        <w:t xml:space="preserve">blogu Wybieram Content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wchodzę.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artykuly-sponsorowane-czy-war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2024-04-19T17:10:32+02:00</dcterms:created>
  <dcterms:modified xsi:type="dcterms:W3CDTF">2024-04-19T17:10:32+02:00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