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branży jubilerskiej – jak go zaplanować?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Rynek dóbr luksusowych w Polsce. Edycja 2018, przeprowadzonego przez firmę KPMG, branża jubilerska jest jedną z najbardziej dynamicznie rozwijających się w naszym kraju. Co więcej, polski rynek biżuterii jest coraz lepiej postrzegany w oczach zagranicznych klientów i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szacuje się, że jego wartość wynosi niemal 3 mld złotych. Z drugiej strony sklepy jubilerskie muszą walczyć ze stale rosnącą konkurencją. Jednym z najskuteczniejszych sposobów poszerzenia grona klientów jest wdrożenie </w:t>
      </w:r>
      <w:r>
        <w:rPr>
          <w:rFonts w:ascii="calibri" w:hAnsi="calibri" w:eastAsia="calibri" w:cs="calibri"/>
          <w:sz w:val="24"/>
          <w:szCs w:val="24"/>
          <w:b/>
        </w:rPr>
        <w:t xml:space="preserve">przemyślanej strategii content marketingowej</w:t>
      </w:r>
      <w:r>
        <w:rPr>
          <w:rFonts w:ascii="calibri" w:hAnsi="calibri" w:eastAsia="calibri" w:cs="calibri"/>
          <w:sz w:val="24"/>
          <w:szCs w:val="24"/>
        </w:rPr>
        <w:t xml:space="preserve">. Jak ją zaplanować?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Wybieram Content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w-branzy-jubilersk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2026-05-26T12:56:34+02:00</dcterms:created>
  <dcterms:modified xsi:type="dcterms:W3CDTF">2026-05-26T12:56:34+02:00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