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ZADBAĆ O EFEKTYWNY COPYWRITING W SOCIAL MEDIACH?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wydaniu Social Media Manager znajdziecie artykuł Patrycji Stachowiak, w którym pisze o tym jak zadbać o efektywny copywriting w social mediach.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✩ O czym mówią reguły 4C i 4U. </w:t>
      </w:r>
    </w:p>
    <w:p>
      <w:r>
        <w:rPr>
          <w:rFonts w:ascii="calibri" w:hAnsi="calibri" w:eastAsia="calibri" w:cs="calibri"/>
          <w:sz w:val="24"/>
          <w:szCs w:val="24"/>
        </w:rPr>
        <w:t xml:space="preserve">✩ Czym powinny odznaczać się posty sprzedażowe.</w:t>
      </w:r>
    </w:p>
    <w:p>
      <w:r>
        <w:rPr>
          <w:rFonts w:ascii="calibri" w:hAnsi="calibri" w:eastAsia="calibri" w:cs="calibri"/>
          <w:sz w:val="24"/>
          <w:szCs w:val="24"/>
        </w:rPr>
        <w:t xml:space="preserve">✩ Czy warto stosować model AIDA w postach.</w:t>
      </w:r>
    </w:p>
    <w:p>
      <w:r>
        <w:rPr>
          <w:rFonts w:ascii="calibri" w:hAnsi="calibri" w:eastAsia="calibri" w:cs="calibri"/>
          <w:sz w:val="24"/>
          <w:szCs w:val="24"/>
        </w:rPr>
        <w:t xml:space="preserve">✩ Jakie zależności występują między wpisami w mediach społecznościowych a blogiem.</w:t>
      </w:r>
    </w:p>
    <w:p>
      <w:r>
        <w:rPr>
          <w:rFonts w:ascii="calibri" w:hAnsi="calibri" w:eastAsia="calibri" w:cs="calibri"/>
          <w:sz w:val="24"/>
          <w:szCs w:val="24"/>
        </w:rPr>
        <w:t xml:space="preserve">✩ Jak budować w postach zaufanie odbiorcy.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2026-01-26T04:09:46+01:00</dcterms:created>
  <dcterms:modified xsi:type="dcterms:W3CDTF">2026-01-26T04:09:46+01:00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