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dobrać content do grupy odbiorców?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zeszłorocznego Raportu Strategicznego INTERNET, sporządzonego przez IAB Polska, większość firm przyznaje, że korzysta z narzędzi content marketingu. Dodatkowo, znaczna część z nich deklaruje, iż działania w tym zakresie są efektywne. W rezultacie na stronach coraz większej liczby sklepów i firm można zapoznać się m.in. z unikalnymi opisami produktów czy zakładką z artykułami blogowymi.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to, w publikowanych treściach bardzo często można natrafić na jeden z podstawowych błędów. Mowa o nieprawidłowym określeniu lub całkowitym pominięciu odbiorcy. Dlaczego wyznaczenie </w:t>
      </w:r>
      <w:r>
        <w:rPr>
          <w:rFonts w:ascii="calibri" w:hAnsi="calibri" w:eastAsia="calibri" w:cs="calibri"/>
          <w:sz w:val="24"/>
          <w:szCs w:val="24"/>
          <w:b/>
        </w:rPr>
        <w:t xml:space="preserve">grupy docelowej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tak ważne w content marketingu? I co najważniejsze: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tego właściwie dokonać?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onture.pl/jak-dobrac-content-do-grupy-odbiorcow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2025-06-21T10:53:38+02:00</dcterms:created>
  <dcterms:modified xsi:type="dcterms:W3CDTF">2025-06-21T10:53:38+02:00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