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w branży jubilerskiej – jak go zaplanować?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raportu Rynek dóbr luksusowych w Polsce. Edycja 2018, przeprowadzonego przez firmę KPMG, branża jubilerska jest jedną z najbardziej dynamicznie rozwijających się w naszym kraju. Co więcej, polski rynek biżuterii jest coraz lepiej postrzegany w oczach zagranicznych klientów i dostawców.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szacuje się, że jego wartość wynosi niemal 3 mld złotych. Z drugiej strony sklepy jubilerskie muszą walczyć ze stale rosnącą konkurencją. Jednym z najskuteczniejszych sposobów poszerzenia grona klientów jest wdrożenie </w:t>
      </w:r>
      <w:r>
        <w:rPr>
          <w:rFonts w:ascii="calibri" w:hAnsi="calibri" w:eastAsia="calibri" w:cs="calibri"/>
          <w:sz w:val="24"/>
          <w:szCs w:val="24"/>
          <w:b/>
        </w:rPr>
        <w:t xml:space="preserve">przemyślanej strategii content marketingowej</w:t>
      </w:r>
      <w:r>
        <w:rPr>
          <w:rFonts w:ascii="calibri" w:hAnsi="calibri" w:eastAsia="calibri" w:cs="calibri"/>
          <w:sz w:val="24"/>
          <w:szCs w:val="24"/>
        </w:rPr>
        <w:t xml:space="preserve">. Jak ją zaplanować?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Wybieram Content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ontent-marketing-w-branzy-jubilerski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2024-04-19T10:09:37+02:00</dcterms:created>
  <dcterms:modified xsi:type="dcterms:W3CDTF">2024-04-19T10:09:37+02:00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